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7E65">
      <w:pPr>
        <w:spacing w:before="71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采购需求调查表</w:t>
      </w:r>
    </w:p>
    <w:p w14:paraId="6152F5FB">
      <w:pPr>
        <w:spacing w:line="470" w:lineRule="auto"/>
        <w:rPr>
          <w:rFonts w:ascii="Arial"/>
          <w:sz w:val="21"/>
        </w:rPr>
      </w:pPr>
    </w:p>
    <w:p w14:paraId="686CD397">
      <w:pPr>
        <w:spacing w:before="94" w:line="219" w:lineRule="auto"/>
        <w:rPr>
          <w:rFonts w:hint="default" w:ascii="宋体" w:hAnsi="宋体" w:eastAsia="宋体" w:cs="宋体"/>
          <w:sz w:val="29"/>
          <w:szCs w:val="29"/>
          <w:lang w:val="en-US" w:eastAsia="zh-CN"/>
        </w:rPr>
      </w:pPr>
      <w:r>
        <w:rPr>
          <w:rFonts w:ascii="宋体" w:hAnsi="宋体" w:eastAsia="宋体" w:cs="宋体"/>
          <w:spacing w:val="-7"/>
          <w:sz w:val="29"/>
          <w:szCs w:val="29"/>
        </w:rPr>
        <w:t>项目名称：</w:t>
      </w:r>
      <w:r>
        <w:rPr>
          <w:rFonts w:hint="eastAsia" w:eastAsia="仿宋" w:cs="Times New Roman"/>
          <w:sz w:val="32"/>
          <w:szCs w:val="32"/>
          <w:lang w:val="en-US" w:eastAsia="zh-CN"/>
        </w:rPr>
        <w:t>高压蒸汽灭菌器</w:t>
      </w:r>
    </w:p>
    <w:p w14:paraId="6950C72E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37837A02">
      <w:pPr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一、接受调研的市场主体基本情况：</w:t>
      </w:r>
    </w:p>
    <w:tbl>
      <w:tblPr>
        <w:tblStyle w:val="6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442"/>
        <w:gridCol w:w="1349"/>
        <w:gridCol w:w="539"/>
        <w:gridCol w:w="5"/>
        <w:gridCol w:w="944"/>
        <w:gridCol w:w="363"/>
        <w:gridCol w:w="5"/>
        <w:gridCol w:w="703"/>
        <w:gridCol w:w="1117"/>
        <w:gridCol w:w="1184"/>
      </w:tblGrid>
      <w:tr w14:paraId="00F2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36E9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供应商名称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DECE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3189">
            <w:pPr>
              <w:widowControl w:val="0"/>
              <w:jc w:val="center"/>
              <w:rPr>
                <w:rFonts w:hint="default" w:cs="Times New Roman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性质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E427">
            <w:pPr>
              <w:widowControl w:val="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微型企业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小型企业</w:t>
            </w:r>
          </w:p>
          <w:p w14:paraId="46C11FB2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中型企业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大型企业</w:t>
            </w:r>
          </w:p>
        </w:tc>
      </w:tr>
      <w:tr w14:paraId="3844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EBFD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销售人及联系电话</w:t>
            </w:r>
          </w:p>
        </w:tc>
        <w:tc>
          <w:tcPr>
            <w:tcW w:w="3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9665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D6B7">
            <w:pPr>
              <w:widowControl w:val="0"/>
              <w:ind w:left="0" w:leftChars="0" w:firstLine="0" w:firstLineChars="0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E-MAIL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EEB9">
            <w:pPr>
              <w:widowControl w:val="0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13D0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0D02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供应商地址</w:t>
            </w:r>
          </w:p>
        </w:tc>
        <w:tc>
          <w:tcPr>
            <w:tcW w:w="7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F93C">
            <w:pPr>
              <w:widowControl w:val="0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4"/>
                <w:lang w:val="en-US"/>
              </w:rPr>
            </w:pPr>
          </w:p>
        </w:tc>
      </w:tr>
      <w:tr w14:paraId="2E09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35556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</w:p>
          <w:p w14:paraId="6E49D146">
            <w:pPr>
              <w:widowControl w:val="0"/>
              <w:ind w:left="0" w:leftChars="0" w:firstLine="0" w:firstLineChars="0"/>
              <w:jc w:val="center"/>
              <w:rPr>
                <w:rFonts w:hint="default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  <w:t>提供服务供应商在广东省内医院用户名单（三甲医院优先）</w:t>
            </w:r>
          </w:p>
          <w:p w14:paraId="1CBFF325">
            <w:pPr>
              <w:widowControl w:val="0"/>
              <w:ind w:left="0" w:leftChars="0" w:firstLine="0" w:firstLineChars="0"/>
              <w:jc w:val="center"/>
              <w:rPr>
                <w:rFonts w:hint="eastAsia" w:eastAsia="宋体" w:cs="Times New Roman" w:asciiTheme="minorEastAsia" w:hAnsiTheme="minorEastAsia"/>
                <w:b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FC4B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医院名称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C51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项目名称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6F9A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合同签订日期</w:t>
            </w: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3CF6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合同金额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775F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维保年限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0ACC">
            <w:pPr>
              <w:widowControl w:val="0"/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4"/>
                <w:lang w:val="en-US" w:eastAsia="zh-CN"/>
              </w:rPr>
              <w:t>是否政府采购项目</w:t>
            </w:r>
          </w:p>
        </w:tc>
      </w:tr>
      <w:tr w14:paraId="69B3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30479">
            <w:pPr>
              <w:widowControl w:val="0"/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01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D9C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DF4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6DC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69FC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4BA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727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FAE4">
            <w:pPr>
              <w:widowControl w:val="0"/>
              <w:rPr>
                <w:rFonts w:hint="eastAsia" w:eastAsia="宋体" w:cs="Times New Roman" w:asciiTheme="minorEastAsia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243E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95DA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886B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DA66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E7B5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C0E4">
            <w:pPr>
              <w:widowControl w:val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488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5E51">
            <w:pPr>
              <w:widowControl w:val="0"/>
              <w:jc w:val="center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lang w:val="en-US" w:eastAsia="zh-CN"/>
              </w:rPr>
              <w:t>供应商报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</w:rPr>
              <w:t>价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含税价格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</w:rPr>
              <w:t>包括了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响应项目需求的</w:t>
            </w:r>
            <w:r>
              <w:rPr>
                <w:rFonts w:hint="eastAsia" w:ascii="宋体" w:hAnsi="宋体" w:cs="宋体"/>
                <w:sz w:val="24"/>
              </w:rPr>
              <w:t>一切费用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)</w:t>
            </w:r>
          </w:p>
        </w:tc>
        <w:tc>
          <w:tcPr>
            <w:tcW w:w="76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57A">
            <w:pPr>
              <w:pStyle w:val="13"/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asciiTheme="minorEastAsia" w:hAnsiTheme="minorEastAsia" w:eastAsiaTheme="minorEastAsia"/>
                <w:b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人民币小写：¥***,***.00元；大写：人民币***元整</w:t>
            </w:r>
          </w:p>
          <w:p w14:paraId="6525A8FC">
            <w:pPr>
              <w:widowControl w:val="0"/>
              <w:jc w:val="both"/>
              <w:rPr>
                <w:rFonts w:eastAsia="宋体" w:cs="Times New Roman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14:paraId="6E8817BB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542D9352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7E794B03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1802526A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3B2E5B06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5C2FAAE4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7FC33A02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7E7DB4E9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6D94DFCD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76B34D95">
      <w:pPr>
        <w:spacing w:before="151" w:line="219" w:lineRule="auto"/>
        <w:rPr>
          <w:rFonts w:ascii="宋体" w:hAnsi="宋体" w:eastAsia="宋体" w:cs="宋体"/>
          <w:b/>
          <w:bCs/>
          <w:spacing w:val="4"/>
          <w:sz w:val="29"/>
          <w:szCs w:val="29"/>
        </w:rPr>
      </w:pPr>
    </w:p>
    <w:p w14:paraId="755584A7">
      <w:pPr>
        <w:pStyle w:val="8"/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二、采购需求响应情况：</w:t>
      </w:r>
    </w:p>
    <w:tbl>
      <w:tblPr>
        <w:tblStyle w:val="9"/>
        <w:tblW w:w="99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3"/>
        <w:gridCol w:w="1192"/>
        <w:gridCol w:w="2401"/>
      </w:tblGrid>
      <w:tr w14:paraId="2AAE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372" w:type="dxa"/>
            <w:vMerge w:val="restart"/>
            <w:tcBorders>
              <w:bottom w:val="nil"/>
            </w:tcBorders>
            <w:vAlign w:val="center"/>
          </w:tcPr>
          <w:p w14:paraId="43A2CFDB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36"/>
              </w:rPr>
              <w:t>采购需求</w:t>
            </w:r>
          </w:p>
        </w:tc>
        <w:tc>
          <w:tcPr>
            <w:tcW w:w="2401" w:type="dxa"/>
            <w:gridSpan w:val="2"/>
            <w:vAlign w:val="center"/>
          </w:tcPr>
          <w:p w14:paraId="300CA417">
            <w:pPr>
              <w:pStyle w:val="10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/>
                <w:b/>
                <w:bCs/>
                <w:spacing w:val="-2"/>
                <w:sz w:val="21"/>
              </w:rPr>
              <w:t>响应情况(如有偏离，须说明是正偏离或负偏离</w:t>
            </w:r>
            <w:r>
              <w:rPr>
                <w:rFonts w:hint="eastAsia" w:ascii="宋体" w:eastAsia="宋体"/>
                <w:b/>
                <w:bCs/>
                <w:spacing w:val="-2"/>
                <w:sz w:val="21"/>
                <w:lang w:eastAsia="zh-CN"/>
              </w:rPr>
              <w:t>，</w:t>
            </w:r>
            <w:r>
              <w:rPr>
                <w:rFonts w:ascii="宋体" w:eastAsia="宋体"/>
                <w:b/>
                <w:bCs/>
                <w:spacing w:val="-2"/>
                <w:sz w:val="21"/>
              </w:rPr>
              <w:t>并列</w:t>
            </w:r>
            <w:r>
              <w:rPr>
                <w:rFonts w:ascii="宋体" w:eastAsia="宋体"/>
                <w:b/>
                <w:bCs/>
                <w:spacing w:val="-1"/>
                <w:sz w:val="21"/>
              </w:rPr>
              <w:t>明具体偏离情况，如无偏离，填写满足)</w:t>
            </w:r>
          </w:p>
        </w:tc>
      </w:tr>
      <w:tr w14:paraId="3106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372" w:type="dxa"/>
            <w:vMerge w:val="continue"/>
            <w:tcBorders>
              <w:top w:val="nil"/>
            </w:tcBorders>
            <w:vAlign w:val="center"/>
          </w:tcPr>
          <w:p w14:paraId="70C638C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</w:rPr>
            </w:pPr>
          </w:p>
        </w:tc>
        <w:tc>
          <w:tcPr>
            <w:tcW w:w="1192" w:type="dxa"/>
            <w:vAlign w:val="center"/>
          </w:tcPr>
          <w:p w14:paraId="7CE0C2FF">
            <w:pPr>
              <w:pStyle w:val="10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/>
                <w:b/>
                <w:bCs/>
                <w:spacing w:val="-2"/>
                <w:sz w:val="21"/>
              </w:rPr>
              <w:t>响应情况</w:t>
            </w:r>
          </w:p>
        </w:tc>
        <w:tc>
          <w:tcPr>
            <w:tcW w:w="2401" w:type="dxa"/>
            <w:vAlign w:val="center"/>
          </w:tcPr>
          <w:p w14:paraId="1BFB6110">
            <w:pPr>
              <w:pStyle w:val="10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spacing w:val="-4"/>
                <w:sz w:val="21"/>
              </w:rPr>
            </w:pPr>
            <w:r>
              <w:rPr>
                <w:rFonts w:ascii="宋体" w:eastAsia="宋体"/>
                <w:b/>
                <w:bCs/>
                <w:spacing w:val="-4"/>
                <w:sz w:val="21"/>
              </w:rPr>
              <w:t>供应商响应参数</w:t>
            </w:r>
          </w:p>
          <w:p w14:paraId="7DE8A360">
            <w:pPr>
              <w:pStyle w:val="10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/>
                <w:b/>
                <w:bCs/>
                <w:spacing w:val="1"/>
                <w:sz w:val="21"/>
              </w:rPr>
              <w:t>(请填写产品实际参数)</w:t>
            </w:r>
          </w:p>
        </w:tc>
      </w:tr>
      <w:tr w14:paraId="5B87D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10CB6813">
            <w:pPr>
              <w:pStyle w:val="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★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功能用途：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适用于三甲医院检验科及医疗卫生部门对器械、敷料、橡胶、玻璃器皿、液体、感染性医疗废物等物品的高温高压灭菌处理，确保灭菌效果安全可靠。</w:t>
            </w:r>
          </w:p>
        </w:tc>
        <w:tc>
          <w:tcPr>
            <w:tcW w:w="1192" w:type="dxa"/>
            <w:vAlign w:val="center"/>
          </w:tcPr>
          <w:p w14:paraId="12819A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34A34C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133D26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554E9A3B">
            <w:pPr>
              <w:pStyle w:val="10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324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5CF7B820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1、  容积：≥80L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F2F26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7399CE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218802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3D137CC8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496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2307A21A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2、设计压力：-0.1—0.28Mpa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754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66D634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7244A0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2810D69B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B0B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0617A805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3、灭菌温度选择范围覆盖：105～138℃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10D36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5710B0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10D020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2ECD4108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E3D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394384D2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4、 保温温度覆盖：40～60℃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97C26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712D7C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053E81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4F03A493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A2C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34307C55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5、腔体材质：06Cr19Ni10 以上不锈钢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F9683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69C0B4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01B572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11C57F7C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46A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0B9D9029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6、 控制方式：微电脑控制，触摸式按键，LED数字显示温度、时间及故障代码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0FA5D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1FA771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00E5DA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3677121F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0B0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7F849587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7、灭菌程序：设有裸露器械、器械包、敷料、橡胶、液体培养基等多种灭菌程序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0DD25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14FC45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466337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640E0A61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002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5A22FCD1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8、排气方式：正压动态脉冲排气，确保蒸汽饱和度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5F1CF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39700B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51733C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722DACFD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73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6EDC29BD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9、干燥功能：腔壁加热，后热力干燥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01C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79769E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73F62E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6CDC154B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C5C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372" w:type="dxa"/>
            <w:vAlign w:val="center"/>
          </w:tcPr>
          <w:p w14:paraId="5BB103B0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10、水箱：内置，水内循环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F6814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16A91A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18D313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317E382B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7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6372" w:type="dxa"/>
            <w:vAlign w:val="center"/>
          </w:tcPr>
          <w:p w14:paraId="4193DE99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jc w:val="left"/>
              <w:rPr>
                <w:rFonts w:hint="default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11、安全保护：超温自动保护、门安全联锁、超压自动泄压安全阀、短路保护、过压保护、防烫门罩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F3CF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满足</w:t>
            </w:r>
          </w:p>
          <w:p w14:paraId="6930B6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0BBDBB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3778DDB6">
            <w:pPr>
              <w:pStyle w:val="10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6A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72" w:type="dxa"/>
            <w:vAlign w:val="center"/>
          </w:tcPr>
          <w:p w14:paraId="2BE1FCFE">
            <w:pPr>
              <w:pStyle w:val="10"/>
              <w:numPr>
                <w:ilvl w:val="0"/>
                <w:numId w:val="0"/>
              </w:numPr>
              <w:snapToGrid w:val="0"/>
              <w:spacing w:before="69"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12、除消耗品外，整机质保≥5年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DFD9C8C">
            <w:pPr>
              <w:snapToGrid w:val="0"/>
              <w:spacing w:line="240" w:lineRule="auto"/>
              <w:ind w:left="0" w:leftChars="0" w:right="0" w:rightChars="0" w:firstLine="240" w:firstLineChars="100"/>
              <w:jc w:val="both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足</w:t>
            </w:r>
          </w:p>
          <w:p w14:paraId="2B007F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负偏离</w:t>
            </w:r>
          </w:p>
          <w:p w14:paraId="3202F1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正偏离</w:t>
            </w:r>
          </w:p>
        </w:tc>
        <w:tc>
          <w:tcPr>
            <w:tcW w:w="2401" w:type="dxa"/>
            <w:vAlign w:val="center"/>
          </w:tcPr>
          <w:p w14:paraId="65443B2D">
            <w:pPr>
              <w:pStyle w:val="10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17DB354">
      <w:pPr>
        <w:pStyle w:val="2"/>
        <w:spacing w:line="252" w:lineRule="auto"/>
      </w:pPr>
    </w:p>
    <w:p w14:paraId="606980C0">
      <w:pPr>
        <w:pStyle w:val="2"/>
        <w:spacing w:line="252" w:lineRule="auto"/>
      </w:pPr>
    </w:p>
    <w:p w14:paraId="510E5D0B">
      <w:pPr>
        <w:spacing w:before="319" w:line="219" w:lineRule="auto"/>
        <w:ind w:left="546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3"/>
          <w:sz w:val="32"/>
          <w:szCs w:val="32"/>
          <w:lang w:val="en-US" w:eastAsia="zh-CN"/>
        </w:rPr>
        <w:t>填写</w:t>
      </w:r>
      <w:r>
        <w:rPr>
          <w:rFonts w:ascii="宋体" w:hAnsi="宋体" w:eastAsia="宋体" w:cs="宋体"/>
          <w:spacing w:val="13"/>
          <w:sz w:val="32"/>
          <w:szCs w:val="32"/>
        </w:rPr>
        <w:t>日期：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年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月</w:t>
      </w:r>
      <w:r>
        <w:rPr>
          <w:rFonts w:hint="eastAsia" w:ascii="宋体" w:hAnsi="宋体" w:eastAsia="宋体" w:cs="宋体"/>
          <w:spacing w:val="1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>日</w:t>
      </w:r>
    </w:p>
    <w:p w14:paraId="2BAC115F"/>
    <w:sectPr>
      <w:headerReference r:id="rId5" w:type="default"/>
      <w:pgSz w:w="11910" w:h="1685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679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77660C"/>
    <w:rsid w:val="0DC509D4"/>
    <w:rsid w:val="0E1A3BB0"/>
    <w:rsid w:val="11EA1373"/>
    <w:rsid w:val="14486920"/>
    <w:rsid w:val="15B82B87"/>
    <w:rsid w:val="15DB004C"/>
    <w:rsid w:val="18AE4EB1"/>
    <w:rsid w:val="24274F00"/>
    <w:rsid w:val="25317D36"/>
    <w:rsid w:val="25C42A83"/>
    <w:rsid w:val="25EB0CC9"/>
    <w:rsid w:val="29726A0C"/>
    <w:rsid w:val="2EF20488"/>
    <w:rsid w:val="35656C57"/>
    <w:rsid w:val="37926CDD"/>
    <w:rsid w:val="3DB30329"/>
    <w:rsid w:val="3EE3069F"/>
    <w:rsid w:val="43B33503"/>
    <w:rsid w:val="581346E7"/>
    <w:rsid w:val="5BED31C6"/>
    <w:rsid w:val="60E86BCA"/>
    <w:rsid w:val="62B23C37"/>
    <w:rsid w:val="69E441FA"/>
    <w:rsid w:val="6CF95187"/>
    <w:rsid w:val="73CD3449"/>
    <w:rsid w:val="73D47965"/>
    <w:rsid w:val="74940C50"/>
    <w:rsid w:val="779F6CE1"/>
    <w:rsid w:val="7C46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720"/>
    </w:pPr>
  </w:style>
  <w:style w:type="paragraph" w:styleId="4">
    <w:name w:val="Body Text First Indent 2"/>
    <w:basedOn w:val="3"/>
    <w:qFormat/>
    <w:uiPriority w:val="0"/>
    <w:pPr>
      <w:spacing w:after="120"/>
      <w:ind w:left="420" w:leftChars="200"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1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1454</Words>
  <Characters>1512</Characters>
  <TotalTime>6</TotalTime>
  <ScaleCrop>false</ScaleCrop>
  <LinksUpToDate>false</LinksUpToDate>
  <CharactersWithSpaces>1532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2025-12-26T06:38:00Z</dcterms:created>
  <dc:creator>wyl</dc:creator>
  <cp:lastModifiedBy>机智的小罗罗</cp:lastModifiedBy>
  <cp:lastPrinted>2026-02-05T00:38:00Z</cp:lastPrinted>
  <dcterms:modified xsi:type="dcterms:W3CDTF">2026-04-01T04:17:18Z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2025-12-26T06:38:50Z</vt:filetime>
  </property>
  <property fmtid="{D5CDD505-2E9C-101B-9397-08002B2CF9AE}" pid="4" name="UsrData">
    <vt:lpwstr>694dbcf693e4d8001f24df45wl</vt:lpwstr>
  </property>
  <property fmtid="{D5CDD505-2E9C-101B-9397-08002B2CF9AE}" pid="5" name="KSOTemplateDocerSaveRecord">
    <vt:lpwstr>eyJoZGlkIjoiY2RkNzhlMTg4NTQyZGZlY2I3ODk0NjRiZjJkNjliNDkiLCJ1c2VySWQiOiI0Mjg0NjIzNzAifQ==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739A06688A084DA987CC38075E7A81D8_13</vt:lpwstr>
  </property>
</Properties>
</file>